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EE" w:rsidRPr="00742FEE" w:rsidRDefault="00742FEE" w:rsidP="00742FEE">
      <w:pPr>
        <w:spacing w:line="360" w:lineRule="auto"/>
        <w:jc w:val="center"/>
        <w:rPr>
          <w:b/>
        </w:rPr>
      </w:pPr>
      <w:r w:rsidRPr="00742FEE">
        <w:rPr>
          <w:b/>
        </w:rPr>
        <w:t>DECRETO Nº 056/2017</w:t>
      </w:r>
    </w:p>
    <w:p w:rsidR="00742FEE" w:rsidRPr="00742FEE" w:rsidRDefault="00742FEE" w:rsidP="00742FEE">
      <w:pPr>
        <w:spacing w:before="240"/>
        <w:ind w:left="3540"/>
        <w:rPr>
          <w:b/>
          <w:i/>
        </w:rPr>
      </w:pPr>
      <w:r w:rsidRPr="00742FEE">
        <w:rPr>
          <w:i/>
        </w:rPr>
        <w:t>Regulamenta o processo de fiscalização da obrigação prevista no art.45 da Lei Federal nº 11.445/2007 e o art1º da Lei Municipal nº 1.364/215</w:t>
      </w:r>
      <w:r w:rsidRPr="00742FEE">
        <w:rPr>
          <w:b/>
          <w:i/>
        </w:rPr>
        <w:t>.</w:t>
      </w:r>
    </w:p>
    <w:p w:rsidR="00742FEE" w:rsidRPr="00742FEE" w:rsidRDefault="00742FEE" w:rsidP="00742FEE">
      <w:pPr>
        <w:spacing w:before="240" w:line="360" w:lineRule="auto"/>
        <w:ind w:left="2552" w:firstLine="1134"/>
        <w:jc w:val="both"/>
        <w:rPr>
          <w:i/>
        </w:rPr>
      </w:pP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t xml:space="preserve">O </w:t>
      </w:r>
      <w:r w:rsidRPr="00742FEE">
        <w:rPr>
          <w:b/>
        </w:rPr>
        <w:t>PREFEITO DO MUNICÍPIO DE LAGAMAR,</w:t>
      </w:r>
      <w:r w:rsidRPr="00742FEE">
        <w:t xml:space="preserve"> </w:t>
      </w:r>
      <w:r w:rsidRPr="00742FEE">
        <w:rPr>
          <w:rFonts w:eastAsia="Calibri"/>
          <w:lang w:eastAsia="en-US"/>
        </w:rPr>
        <w:t>no uso das atribuições previstas no inc. V do art. 86 da Lei Orgânica do Município, e</w:t>
      </w:r>
      <w:r w:rsidRPr="00742FEE">
        <w:t xml:space="preserve"> tendo em vista o disposto no art. 45 da Lei Federal nº 11.445/2007 e no art1º da Lei Municipal nº 1.364/2015,</w:t>
      </w:r>
    </w:p>
    <w:p w:rsidR="00742FEE" w:rsidRPr="00742FEE" w:rsidRDefault="00742FEE" w:rsidP="00742FEE">
      <w:pPr>
        <w:spacing w:before="240" w:line="360" w:lineRule="auto"/>
        <w:ind w:firstLine="1134"/>
        <w:jc w:val="both"/>
        <w:rPr>
          <w:b/>
        </w:rPr>
      </w:pPr>
      <w:r w:rsidRPr="00742FEE">
        <w:rPr>
          <w:b/>
        </w:rPr>
        <w:t>DECRETA: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 xml:space="preserve">Art. 1º </w:t>
      </w:r>
      <w:r w:rsidRPr="00742FEE">
        <w:t xml:space="preserve">Fica o usuário dos serviços de abastecimento de água e de esgotamento sanitário obrigado a se conectar ao sistema público de abastecimento de água e de esgotamento sanitário, estático ou dinâmico, no prazo de 30 (trinta) dias após ser notificado. 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 xml:space="preserve">Parágrafo único. </w:t>
      </w:r>
      <w:r w:rsidRPr="00742FEE">
        <w:t xml:space="preserve">Caberá à prestadora dos serviços </w:t>
      </w:r>
      <w:proofErr w:type="gramStart"/>
      <w:r w:rsidRPr="00742FEE">
        <w:t>realizar</w:t>
      </w:r>
      <w:proofErr w:type="gramEnd"/>
      <w:r w:rsidRPr="00742FEE">
        <w:t xml:space="preserve"> a notificação a que se refere o “</w:t>
      </w:r>
      <w:r w:rsidRPr="00742FEE">
        <w:rPr>
          <w:i/>
        </w:rPr>
        <w:t>caput”</w:t>
      </w:r>
      <w:r w:rsidRPr="00742FEE">
        <w:t>, devendo a entrega ser comprovada por Aviso de Recebimento (AR).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Art. 2º</w:t>
      </w:r>
      <w:r w:rsidRPr="00742FEE">
        <w:t xml:space="preserve"> O descumprimento da obrigação estabelecida no artigo anterior sujeitará o usuário ao pagamento de multa ou a interdição do imóvel, nos termos da Lei. </w:t>
      </w:r>
    </w:p>
    <w:p w:rsidR="00742FEE" w:rsidRPr="00742FEE" w:rsidRDefault="00742FEE" w:rsidP="00742FEE">
      <w:pPr>
        <w:spacing w:line="360" w:lineRule="auto"/>
        <w:ind w:firstLine="1134"/>
        <w:jc w:val="both"/>
        <w:rPr>
          <w:b/>
        </w:rPr>
      </w:pPr>
      <w:r w:rsidRPr="00742FEE">
        <w:rPr>
          <w:b/>
        </w:rPr>
        <w:t xml:space="preserve">§ 1º </w:t>
      </w:r>
      <w:r w:rsidRPr="00742FEE">
        <w:t xml:space="preserve">Dentro do prazo estabelecido no “caput” do art. 1º, o proprietário da edificação permanente urbana poderá apresentar defesa prévia, devendo a mesma ser encaminhada à prestadora dos serviços que emitirá relatório conclusivo. 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§ 2º</w:t>
      </w:r>
      <w:r w:rsidRPr="00742FEE">
        <w:t xml:space="preserve"> Transcorrido o prazo a que se refere o parágrafo anterior, deverá a prestadora dos serviços encaminhar os dados de identificação da edificação permanente urbana, assim como o comprovante da notificação (AR), a defesa prévia e o relatório conclusivo, à Prefeitura Municipal de Lagamar que, em ato contínuo, instaurará processo administrativo, devendo apreciar as razões da defesa. 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§ 3º</w:t>
      </w:r>
      <w:r w:rsidRPr="00742FEE">
        <w:t xml:space="preserve"> Em caso do não acolhimento da Defesa, deverá o responsável ser notificado da infração e da respectiva cominação legal, por meio de Aviso de Recebimento (AR) ou por edital, caso reste infrutífera a notificação postal, para que apresente impugnação em prazo não superior a 15 (quinze) dias.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§ 4º</w:t>
      </w:r>
      <w:r w:rsidRPr="00742FEE">
        <w:t xml:space="preserve"> As notificações frustradas encaminhadas pela prestadora dos serviços deverão ser repetidas por meio de edital antes de instaurado o processo administrativo.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lastRenderedPageBreak/>
        <w:t>§ 5º</w:t>
      </w:r>
      <w:r w:rsidRPr="00742FEE">
        <w:t xml:space="preserve"> A sanção de multa decorrente do descumprimento das disposições do Artigo Primeiro deste Decreto só produzirá efeitos após o indeferimento da impugnação ou do transcurso </w:t>
      </w:r>
      <w:r w:rsidRPr="00742FEE">
        <w:rPr>
          <w:i/>
        </w:rPr>
        <w:t>“in albis”</w:t>
      </w:r>
      <w:r w:rsidRPr="00742FEE">
        <w:t xml:space="preserve"> do prazo estabelecido no § 1º deste artigo. 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§ 6º</w:t>
      </w:r>
      <w:r w:rsidRPr="00742FEE">
        <w:t xml:space="preserve"> A apresentação de impugnação não suspenderá os efeitos da sanção de interdição, prevista na Lei Municipal nº 1.364/2015.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 xml:space="preserve">Art. 3º </w:t>
      </w:r>
      <w:r w:rsidRPr="00742FEE">
        <w:t>Do indeferimento da impugnação caberá recurso ao Prefeito, sem efeito suspensivo.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Parágrafo Único.</w:t>
      </w:r>
      <w:r w:rsidRPr="00742FEE">
        <w:t xml:space="preserve"> O Pedido de Revisão só será apreciado se devidamente instruído com comprovante do recolhimento do valor acumulado da multa até a data da interposição. 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 xml:space="preserve">Art. 4º </w:t>
      </w:r>
      <w:r w:rsidRPr="00742FEE">
        <w:t>Presentes os requisitos da intervenção, deverá o Poder Público aplicar a sanção pelo prazo necessário à regularização do imóvel, nunca podendo exceder a 90(noventa) dias.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§ 1º</w:t>
      </w:r>
      <w:r w:rsidRPr="00742FEE">
        <w:t xml:space="preserve"> A intervenção deve se limitar à área do imóvel estritamente necessária à realização dos serviços de regularização.  </w:t>
      </w:r>
    </w:p>
    <w:p w:rsidR="00742FEE" w:rsidRPr="00742FEE" w:rsidRDefault="00742FEE" w:rsidP="00742FEE">
      <w:pPr>
        <w:spacing w:line="360" w:lineRule="auto"/>
        <w:ind w:firstLine="1134"/>
        <w:jc w:val="both"/>
        <w:rPr>
          <w:b/>
        </w:rPr>
      </w:pPr>
      <w:r w:rsidRPr="00742FEE">
        <w:rPr>
          <w:b/>
        </w:rPr>
        <w:t xml:space="preserve">§ 2º </w:t>
      </w:r>
      <w:r w:rsidRPr="00742FEE">
        <w:t>As faturas referentes aos serviços de regularização do imóvel deverão ser encaminhadas à Secretaria Municipal da Fazenda que procederá à sua cobrança, nos moldes da legislação pertinente.</w:t>
      </w:r>
      <w:r w:rsidRPr="00742FEE">
        <w:rPr>
          <w:b/>
        </w:rPr>
        <w:t xml:space="preserve">  </w:t>
      </w:r>
    </w:p>
    <w:p w:rsidR="00742FEE" w:rsidRPr="00742FEE" w:rsidRDefault="00742FEE" w:rsidP="00742FEE">
      <w:pPr>
        <w:spacing w:line="360" w:lineRule="auto"/>
        <w:ind w:firstLine="1134"/>
        <w:jc w:val="both"/>
      </w:pPr>
      <w:r w:rsidRPr="00742FEE">
        <w:rPr>
          <w:b/>
        </w:rPr>
        <w:t>Art. 5º</w:t>
      </w:r>
      <w:r w:rsidRPr="00742FEE">
        <w:t xml:space="preserve"> Este Decreto entra em </w:t>
      </w:r>
      <w:r w:rsidR="001858CD">
        <w:t xml:space="preserve">vigor na data de sua publicação, </w:t>
      </w:r>
      <w:r w:rsidR="001858CD">
        <w:rPr>
          <w:bCs/>
          <w:color w:val="000000"/>
        </w:rPr>
        <w:t>r</w:t>
      </w:r>
      <w:r w:rsidR="001858CD" w:rsidRPr="001B23D2">
        <w:rPr>
          <w:bCs/>
          <w:color w:val="000000"/>
        </w:rPr>
        <w:t>evogam-se as disposições em contrário</w:t>
      </w:r>
      <w:r w:rsidR="001858CD">
        <w:rPr>
          <w:bCs/>
          <w:color w:val="000000"/>
        </w:rPr>
        <w:t>.</w:t>
      </w:r>
    </w:p>
    <w:p w:rsidR="00742FEE" w:rsidRPr="00742FEE" w:rsidRDefault="00742FEE" w:rsidP="00742FEE">
      <w:pPr>
        <w:spacing w:before="480" w:line="360" w:lineRule="auto"/>
      </w:pPr>
      <w:r w:rsidRPr="00742FEE">
        <w:t>Lagamar, 13 de Novembro de 20</w:t>
      </w:r>
      <w:bookmarkStart w:id="0" w:name="_GoBack"/>
      <w:bookmarkEnd w:id="0"/>
      <w:r w:rsidRPr="00742FEE">
        <w:t>17.</w:t>
      </w:r>
    </w:p>
    <w:p w:rsidR="00742FEE" w:rsidRPr="00742FEE" w:rsidRDefault="00742FEE" w:rsidP="00742FEE">
      <w:pPr>
        <w:spacing w:before="480"/>
      </w:pPr>
    </w:p>
    <w:p w:rsidR="00742FEE" w:rsidRPr="00742FEE" w:rsidRDefault="00742FEE" w:rsidP="00742FEE">
      <w:pPr>
        <w:spacing w:before="480"/>
      </w:pPr>
    </w:p>
    <w:p w:rsidR="004B5FBD" w:rsidRPr="00742FEE" w:rsidRDefault="004B5FBD" w:rsidP="00742FEE">
      <w:pPr>
        <w:pStyle w:val="Default"/>
        <w:ind w:left="-794" w:firstLine="1418"/>
        <w:jc w:val="center"/>
        <w:rPr>
          <w:rFonts w:ascii="Times New Roman" w:hAnsi="Times New Roman" w:cs="Times New Roman"/>
          <w:color w:val="auto"/>
        </w:rPr>
      </w:pPr>
      <w:r w:rsidRPr="00742FEE">
        <w:rPr>
          <w:rFonts w:ascii="Times New Roman" w:hAnsi="Times New Roman" w:cs="Times New Roman"/>
          <w:color w:val="auto"/>
        </w:rPr>
        <w:t>_____________________________________</w:t>
      </w:r>
    </w:p>
    <w:p w:rsidR="004B5FBD" w:rsidRPr="00742FEE" w:rsidRDefault="0092555B" w:rsidP="00742FEE">
      <w:pPr>
        <w:pStyle w:val="Default"/>
        <w:ind w:left="-794" w:firstLine="1418"/>
        <w:jc w:val="center"/>
        <w:rPr>
          <w:rFonts w:ascii="Times New Roman" w:hAnsi="Times New Roman" w:cs="Times New Roman"/>
          <w:b/>
          <w:color w:val="auto"/>
        </w:rPr>
      </w:pPr>
      <w:r w:rsidRPr="00742FEE">
        <w:rPr>
          <w:rFonts w:ascii="Times New Roman" w:hAnsi="Times New Roman" w:cs="Times New Roman"/>
          <w:b/>
          <w:color w:val="auto"/>
        </w:rPr>
        <w:t>José Alves Filho</w:t>
      </w:r>
    </w:p>
    <w:p w:rsidR="002E4072" w:rsidRPr="00742FEE" w:rsidRDefault="0092555B" w:rsidP="00742FEE">
      <w:pPr>
        <w:pStyle w:val="Default"/>
        <w:ind w:left="-794" w:firstLine="1418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742FEE">
        <w:rPr>
          <w:rFonts w:ascii="Times New Roman" w:hAnsi="Times New Roman" w:cs="Times New Roman"/>
          <w:bCs/>
          <w:color w:val="auto"/>
        </w:rPr>
        <w:t xml:space="preserve">Prefeito Municipal de </w:t>
      </w:r>
      <w:r w:rsidRPr="00742FEE">
        <w:rPr>
          <w:rFonts w:ascii="Times New Roman" w:hAnsi="Times New Roman" w:cs="Times New Roman"/>
          <w:color w:val="auto"/>
        </w:rPr>
        <w:t>Lagamar.</w:t>
      </w:r>
    </w:p>
    <w:sectPr w:rsidR="002E4072" w:rsidRPr="00742FEE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C3" w:rsidRDefault="006C24C3" w:rsidP="009862A2">
      <w:r>
        <w:separator/>
      </w:r>
    </w:p>
  </w:endnote>
  <w:endnote w:type="continuationSeparator" w:id="0">
    <w:p w:rsidR="006C24C3" w:rsidRDefault="006C24C3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72" w:rsidRDefault="002E4072">
    <w:pPr>
      <w:pStyle w:val="Rodap"/>
    </w:pPr>
  </w:p>
  <w:p w:rsidR="002E4072" w:rsidRDefault="002E4072" w:rsidP="00842955">
    <w:pPr>
      <w:pStyle w:val="Rodap"/>
      <w:jc w:val="center"/>
    </w:pPr>
    <w:r>
      <w:rPr>
        <w:b/>
        <w:color w:val="008000"/>
        <w:sz w:val="22"/>
      </w:rPr>
      <w:t xml:space="preserve">Praça Magalhães Pinto, 68 – Centro – Lagamar – MG CEP 38.785-000 Fone (34) 3812-1910     </w:t>
    </w:r>
    <w:proofErr w:type="gramStart"/>
    <w:r>
      <w:rPr>
        <w:b/>
        <w:color w:val="008000"/>
        <w:sz w:val="22"/>
      </w:rPr>
      <w:t>www.lagamar.mg.gov.br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C3" w:rsidRDefault="006C24C3" w:rsidP="009862A2">
      <w:r>
        <w:separator/>
      </w:r>
    </w:p>
  </w:footnote>
  <w:footnote w:type="continuationSeparator" w:id="0">
    <w:p w:rsidR="006C24C3" w:rsidRDefault="006C24C3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72" w:rsidRPr="00B93F4F" w:rsidRDefault="002E4072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2E4072" w:rsidRDefault="002E4072" w:rsidP="00842955">
    <w:pPr>
      <w:pStyle w:val="Ttulo2"/>
    </w:pPr>
    <w:r>
      <w:t xml:space="preserve"> ESTADO DE MINAS GERAIS</w:t>
    </w:r>
  </w:p>
  <w:p w:rsidR="002E4072" w:rsidRPr="00B93F4F" w:rsidRDefault="002E4072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2E4072" w:rsidRDefault="002E4072" w:rsidP="00842955">
    <w:pPr>
      <w:tabs>
        <w:tab w:val="left" w:pos="6524"/>
      </w:tabs>
    </w:pPr>
    <w:r>
      <w:tab/>
    </w:r>
  </w:p>
  <w:p w:rsidR="002E4072" w:rsidRDefault="002E40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232D"/>
    <w:multiLevelType w:val="hybridMultilevel"/>
    <w:tmpl w:val="A9E8BA36"/>
    <w:lvl w:ilvl="0" w:tplc="CE4CD42E">
      <w:start w:val="1"/>
      <w:numFmt w:val="decimalZero"/>
      <w:lvlText w:val="(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6B8"/>
    <w:multiLevelType w:val="hybridMultilevel"/>
    <w:tmpl w:val="86CCA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912CA"/>
    <w:multiLevelType w:val="hybridMultilevel"/>
    <w:tmpl w:val="50E83C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1AD1"/>
    <w:multiLevelType w:val="hybridMultilevel"/>
    <w:tmpl w:val="7564DFE6"/>
    <w:lvl w:ilvl="0" w:tplc="123AA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91FB6"/>
    <w:multiLevelType w:val="hybridMultilevel"/>
    <w:tmpl w:val="8C54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26FA8"/>
    <w:multiLevelType w:val="hybridMultilevel"/>
    <w:tmpl w:val="209A3F50"/>
    <w:lvl w:ilvl="0" w:tplc="6C2E89D2">
      <w:start w:val="2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F18D2"/>
    <w:multiLevelType w:val="hybridMultilevel"/>
    <w:tmpl w:val="AF56F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A7678"/>
    <w:multiLevelType w:val="hybridMultilevel"/>
    <w:tmpl w:val="7396D888"/>
    <w:lvl w:ilvl="0" w:tplc="B7606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F28BC"/>
    <w:multiLevelType w:val="hybridMultilevel"/>
    <w:tmpl w:val="E86C3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572BA"/>
    <w:multiLevelType w:val="hybridMultilevel"/>
    <w:tmpl w:val="48CC2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31BE0"/>
    <w:multiLevelType w:val="hybridMultilevel"/>
    <w:tmpl w:val="3F808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F6A55"/>
    <w:multiLevelType w:val="hybridMultilevel"/>
    <w:tmpl w:val="59F2E9FE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  <w:num w:numId="17">
    <w:abstractNumId w:val="5"/>
  </w:num>
  <w:num w:numId="18">
    <w:abstractNumId w:val="7"/>
  </w:num>
  <w:num w:numId="19">
    <w:abstractNumId w:val="15"/>
  </w:num>
  <w:num w:numId="20">
    <w:abstractNumId w:val="11"/>
  </w:num>
  <w:num w:numId="21">
    <w:abstractNumId w:val="20"/>
  </w:num>
  <w:num w:numId="22">
    <w:abstractNumId w:val="6"/>
  </w:num>
  <w:num w:numId="23">
    <w:abstractNumId w:val="8"/>
  </w:num>
  <w:num w:numId="24">
    <w:abstractNumId w:val="13"/>
  </w:num>
  <w:num w:numId="25">
    <w:abstractNumId w:val="21"/>
  </w:num>
  <w:num w:numId="26">
    <w:abstractNumId w:val="23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47C7"/>
    <w:rsid w:val="00027E23"/>
    <w:rsid w:val="0003347D"/>
    <w:rsid w:val="00034D33"/>
    <w:rsid w:val="00042682"/>
    <w:rsid w:val="0005353E"/>
    <w:rsid w:val="00055EDC"/>
    <w:rsid w:val="00063A41"/>
    <w:rsid w:val="000708B7"/>
    <w:rsid w:val="0007187C"/>
    <w:rsid w:val="00087C4F"/>
    <w:rsid w:val="0009387B"/>
    <w:rsid w:val="000A176C"/>
    <w:rsid w:val="000A3F50"/>
    <w:rsid w:val="000A4080"/>
    <w:rsid w:val="000A709C"/>
    <w:rsid w:val="000B6BC8"/>
    <w:rsid w:val="000D52A4"/>
    <w:rsid w:val="000D71F8"/>
    <w:rsid w:val="000F479C"/>
    <w:rsid w:val="000F54AB"/>
    <w:rsid w:val="000F7D7C"/>
    <w:rsid w:val="001021F3"/>
    <w:rsid w:val="00122087"/>
    <w:rsid w:val="00123DB1"/>
    <w:rsid w:val="00134CB8"/>
    <w:rsid w:val="00141850"/>
    <w:rsid w:val="001642F2"/>
    <w:rsid w:val="00165248"/>
    <w:rsid w:val="0017166D"/>
    <w:rsid w:val="001839DA"/>
    <w:rsid w:val="001858CD"/>
    <w:rsid w:val="00186C77"/>
    <w:rsid w:val="0019092F"/>
    <w:rsid w:val="00193975"/>
    <w:rsid w:val="00194F8B"/>
    <w:rsid w:val="00197AB2"/>
    <w:rsid w:val="001B61A8"/>
    <w:rsid w:val="001C3884"/>
    <w:rsid w:val="001E64FB"/>
    <w:rsid w:val="001F262D"/>
    <w:rsid w:val="00203A12"/>
    <w:rsid w:val="00214780"/>
    <w:rsid w:val="00237E38"/>
    <w:rsid w:val="002524AB"/>
    <w:rsid w:val="00266F07"/>
    <w:rsid w:val="002765EE"/>
    <w:rsid w:val="00286CFD"/>
    <w:rsid w:val="0029332E"/>
    <w:rsid w:val="002A0427"/>
    <w:rsid w:val="002A4A26"/>
    <w:rsid w:val="002D5F19"/>
    <w:rsid w:val="002E4072"/>
    <w:rsid w:val="002F4A85"/>
    <w:rsid w:val="00300C30"/>
    <w:rsid w:val="00303761"/>
    <w:rsid w:val="00325B43"/>
    <w:rsid w:val="0032643B"/>
    <w:rsid w:val="0034393E"/>
    <w:rsid w:val="0037225C"/>
    <w:rsid w:val="003914D4"/>
    <w:rsid w:val="003A036C"/>
    <w:rsid w:val="003B753C"/>
    <w:rsid w:val="003D00F4"/>
    <w:rsid w:val="003D2F0F"/>
    <w:rsid w:val="003E21B5"/>
    <w:rsid w:val="003E65DD"/>
    <w:rsid w:val="0040399E"/>
    <w:rsid w:val="0040796D"/>
    <w:rsid w:val="00436D06"/>
    <w:rsid w:val="00446D42"/>
    <w:rsid w:val="0044751A"/>
    <w:rsid w:val="00456019"/>
    <w:rsid w:val="0045767F"/>
    <w:rsid w:val="00475FDC"/>
    <w:rsid w:val="0048118F"/>
    <w:rsid w:val="00495005"/>
    <w:rsid w:val="004967F4"/>
    <w:rsid w:val="00497875"/>
    <w:rsid w:val="004A475F"/>
    <w:rsid w:val="004B06C0"/>
    <w:rsid w:val="004B56C9"/>
    <w:rsid w:val="004B5FBD"/>
    <w:rsid w:val="004B6216"/>
    <w:rsid w:val="004B6B08"/>
    <w:rsid w:val="004C31F0"/>
    <w:rsid w:val="004C33B7"/>
    <w:rsid w:val="004D0738"/>
    <w:rsid w:val="004D5736"/>
    <w:rsid w:val="004E5A30"/>
    <w:rsid w:val="00507EA5"/>
    <w:rsid w:val="005138A0"/>
    <w:rsid w:val="005516B8"/>
    <w:rsid w:val="00554449"/>
    <w:rsid w:val="005621C9"/>
    <w:rsid w:val="00570221"/>
    <w:rsid w:val="00580390"/>
    <w:rsid w:val="0059553F"/>
    <w:rsid w:val="00596DBC"/>
    <w:rsid w:val="005B107A"/>
    <w:rsid w:val="005B1765"/>
    <w:rsid w:val="005B4DD6"/>
    <w:rsid w:val="005B7AE8"/>
    <w:rsid w:val="005C3BB3"/>
    <w:rsid w:val="005C48E8"/>
    <w:rsid w:val="005E3741"/>
    <w:rsid w:val="00601939"/>
    <w:rsid w:val="0060486D"/>
    <w:rsid w:val="00606ED1"/>
    <w:rsid w:val="00613D1C"/>
    <w:rsid w:val="00621305"/>
    <w:rsid w:val="00621636"/>
    <w:rsid w:val="00622761"/>
    <w:rsid w:val="0063281F"/>
    <w:rsid w:val="00635859"/>
    <w:rsid w:val="006358B4"/>
    <w:rsid w:val="00645F1F"/>
    <w:rsid w:val="006637DF"/>
    <w:rsid w:val="00667F0D"/>
    <w:rsid w:val="00675D92"/>
    <w:rsid w:val="00676B06"/>
    <w:rsid w:val="00691094"/>
    <w:rsid w:val="006A2B91"/>
    <w:rsid w:val="006A7672"/>
    <w:rsid w:val="006A78EA"/>
    <w:rsid w:val="006C24C3"/>
    <w:rsid w:val="006C43C0"/>
    <w:rsid w:val="006C530F"/>
    <w:rsid w:val="006C7D08"/>
    <w:rsid w:val="006D6E63"/>
    <w:rsid w:val="006D6FE8"/>
    <w:rsid w:val="006E5B02"/>
    <w:rsid w:val="006F0EE5"/>
    <w:rsid w:val="006F1959"/>
    <w:rsid w:val="007004FF"/>
    <w:rsid w:val="007037BA"/>
    <w:rsid w:val="00710AFF"/>
    <w:rsid w:val="00713CA4"/>
    <w:rsid w:val="00714C8A"/>
    <w:rsid w:val="00723E4F"/>
    <w:rsid w:val="0073608C"/>
    <w:rsid w:val="00741D53"/>
    <w:rsid w:val="00742FEE"/>
    <w:rsid w:val="0075161A"/>
    <w:rsid w:val="00751B1E"/>
    <w:rsid w:val="00753DD7"/>
    <w:rsid w:val="0075616E"/>
    <w:rsid w:val="007566C0"/>
    <w:rsid w:val="007617CF"/>
    <w:rsid w:val="00782B8B"/>
    <w:rsid w:val="00782C58"/>
    <w:rsid w:val="00790C90"/>
    <w:rsid w:val="007B1004"/>
    <w:rsid w:val="007B472A"/>
    <w:rsid w:val="007E29E0"/>
    <w:rsid w:val="007F1CEE"/>
    <w:rsid w:val="007F3CF0"/>
    <w:rsid w:val="007F5305"/>
    <w:rsid w:val="008064AE"/>
    <w:rsid w:val="008254B0"/>
    <w:rsid w:val="008309A3"/>
    <w:rsid w:val="008366D7"/>
    <w:rsid w:val="00842955"/>
    <w:rsid w:val="008464A6"/>
    <w:rsid w:val="0084681C"/>
    <w:rsid w:val="008520B9"/>
    <w:rsid w:val="0085288C"/>
    <w:rsid w:val="00853302"/>
    <w:rsid w:val="00853589"/>
    <w:rsid w:val="00873F56"/>
    <w:rsid w:val="008745D7"/>
    <w:rsid w:val="00883560"/>
    <w:rsid w:val="00895BBF"/>
    <w:rsid w:val="008A2153"/>
    <w:rsid w:val="008B0F93"/>
    <w:rsid w:val="008C2889"/>
    <w:rsid w:val="008D5DDA"/>
    <w:rsid w:val="008D76AD"/>
    <w:rsid w:val="00913680"/>
    <w:rsid w:val="00913C7C"/>
    <w:rsid w:val="0091689F"/>
    <w:rsid w:val="0092270F"/>
    <w:rsid w:val="0092555B"/>
    <w:rsid w:val="00935AAF"/>
    <w:rsid w:val="0094597F"/>
    <w:rsid w:val="00963D85"/>
    <w:rsid w:val="00974412"/>
    <w:rsid w:val="00975712"/>
    <w:rsid w:val="009862A2"/>
    <w:rsid w:val="009929E5"/>
    <w:rsid w:val="00996326"/>
    <w:rsid w:val="009A0266"/>
    <w:rsid w:val="009A4200"/>
    <w:rsid w:val="009A5474"/>
    <w:rsid w:val="009B24C6"/>
    <w:rsid w:val="009B28DE"/>
    <w:rsid w:val="009B2BA5"/>
    <w:rsid w:val="009C1313"/>
    <w:rsid w:val="009C548D"/>
    <w:rsid w:val="009D31CB"/>
    <w:rsid w:val="009D4B26"/>
    <w:rsid w:val="009D6EA3"/>
    <w:rsid w:val="009D78D4"/>
    <w:rsid w:val="009D790B"/>
    <w:rsid w:val="00A0068B"/>
    <w:rsid w:val="00A13235"/>
    <w:rsid w:val="00A25CF1"/>
    <w:rsid w:val="00A33718"/>
    <w:rsid w:val="00A51172"/>
    <w:rsid w:val="00A5140C"/>
    <w:rsid w:val="00A61B8C"/>
    <w:rsid w:val="00A63F83"/>
    <w:rsid w:val="00A74484"/>
    <w:rsid w:val="00A8085D"/>
    <w:rsid w:val="00A845DB"/>
    <w:rsid w:val="00A916E3"/>
    <w:rsid w:val="00AA3796"/>
    <w:rsid w:val="00AC6B16"/>
    <w:rsid w:val="00AC7C5B"/>
    <w:rsid w:val="00AD26D8"/>
    <w:rsid w:val="00AD55E8"/>
    <w:rsid w:val="00B13208"/>
    <w:rsid w:val="00B1377D"/>
    <w:rsid w:val="00B14FD3"/>
    <w:rsid w:val="00B2581C"/>
    <w:rsid w:val="00B31736"/>
    <w:rsid w:val="00B35023"/>
    <w:rsid w:val="00B3654F"/>
    <w:rsid w:val="00B4108A"/>
    <w:rsid w:val="00B427FB"/>
    <w:rsid w:val="00B47230"/>
    <w:rsid w:val="00B536B8"/>
    <w:rsid w:val="00B5794B"/>
    <w:rsid w:val="00B63D87"/>
    <w:rsid w:val="00B84DE0"/>
    <w:rsid w:val="00B867D2"/>
    <w:rsid w:val="00B96174"/>
    <w:rsid w:val="00BA0567"/>
    <w:rsid w:val="00BA15CB"/>
    <w:rsid w:val="00BA7A59"/>
    <w:rsid w:val="00BB0A74"/>
    <w:rsid w:val="00BB3966"/>
    <w:rsid w:val="00BC6805"/>
    <w:rsid w:val="00BC6C36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0F09"/>
    <w:rsid w:val="00C7115D"/>
    <w:rsid w:val="00C73E70"/>
    <w:rsid w:val="00C80AA8"/>
    <w:rsid w:val="00C80DA9"/>
    <w:rsid w:val="00C81354"/>
    <w:rsid w:val="00C83A29"/>
    <w:rsid w:val="00C83CFC"/>
    <w:rsid w:val="00C86B44"/>
    <w:rsid w:val="00CA585B"/>
    <w:rsid w:val="00CA59CB"/>
    <w:rsid w:val="00CA5B71"/>
    <w:rsid w:val="00CA6BA2"/>
    <w:rsid w:val="00CB7EE4"/>
    <w:rsid w:val="00CC488E"/>
    <w:rsid w:val="00CC6BFA"/>
    <w:rsid w:val="00CD32AD"/>
    <w:rsid w:val="00CE25D1"/>
    <w:rsid w:val="00CF37B6"/>
    <w:rsid w:val="00CF7179"/>
    <w:rsid w:val="00D12E0F"/>
    <w:rsid w:val="00D22701"/>
    <w:rsid w:val="00D25E11"/>
    <w:rsid w:val="00D33E59"/>
    <w:rsid w:val="00D37BFA"/>
    <w:rsid w:val="00D47E74"/>
    <w:rsid w:val="00D62CF3"/>
    <w:rsid w:val="00D70C18"/>
    <w:rsid w:val="00D71AC3"/>
    <w:rsid w:val="00D85828"/>
    <w:rsid w:val="00D8604C"/>
    <w:rsid w:val="00D962D8"/>
    <w:rsid w:val="00DB2CE9"/>
    <w:rsid w:val="00DC1AE2"/>
    <w:rsid w:val="00DC41D2"/>
    <w:rsid w:val="00DD2FCA"/>
    <w:rsid w:val="00DD6E5C"/>
    <w:rsid w:val="00DE0FC6"/>
    <w:rsid w:val="00DE3E18"/>
    <w:rsid w:val="00DF38CF"/>
    <w:rsid w:val="00DF5664"/>
    <w:rsid w:val="00E065BB"/>
    <w:rsid w:val="00E105E9"/>
    <w:rsid w:val="00E1457F"/>
    <w:rsid w:val="00E23434"/>
    <w:rsid w:val="00E3527E"/>
    <w:rsid w:val="00E41C1B"/>
    <w:rsid w:val="00E52644"/>
    <w:rsid w:val="00E566CB"/>
    <w:rsid w:val="00E64DEF"/>
    <w:rsid w:val="00E71CB1"/>
    <w:rsid w:val="00E74E85"/>
    <w:rsid w:val="00E80AD8"/>
    <w:rsid w:val="00E82204"/>
    <w:rsid w:val="00E85A07"/>
    <w:rsid w:val="00E85E79"/>
    <w:rsid w:val="00E8685C"/>
    <w:rsid w:val="00ED282C"/>
    <w:rsid w:val="00EE61C0"/>
    <w:rsid w:val="00EF6124"/>
    <w:rsid w:val="00F00C9E"/>
    <w:rsid w:val="00F05F05"/>
    <w:rsid w:val="00F104FB"/>
    <w:rsid w:val="00F162FA"/>
    <w:rsid w:val="00F23987"/>
    <w:rsid w:val="00F242F5"/>
    <w:rsid w:val="00F2540D"/>
    <w:rsid w:val="00F30798"/>
    <w:rsid w:val="00F362D6"/>
    <w:rsid w:val="00F36839"/>
    <w:rsid w:val="00F426F0"/>
    <w:rsid w:val="00F51FE6"/>
    <w:rsid w:val="00F55E37"/>
    <w:rsid w:val="00F90D04"/>
    <w:rsid w:val="00F92BC1"/>
    <w:rsid w:val="00F9359A"/>
    <w:rsid w:val="00F94714"/>
    <w:rsid w:val="00FA1464"/>
    <w:rsid w:val="00FC07E6"/>
    <w:rsid w:val="00FC6E5A"/>
    <w:rsid w:val="00FD3266"/>
    <w:rsid w:val="00FD70CC"/>
    <w:rsid w:val="00FE3B4D"/>
    <w:rsid w:val="00FE4290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3</cp:revision>
  <cp:lastPrinted>2017-11-14T16:15:00Z</cp:lastPrinted>
  <dcterms:created xsi:type="dcterms:W3CDTF">2017-11-13T15:48:00Z</dcterms:created>
  <dcterms:modified xsi:type="dcterms:W3CDTF">2017-11-14T16:19:00Z</dcterms:modified>
</cp:coreProperties>
</file>